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33767D" w:rsidR="0023286F" w:rsidRDefault="0033767D" w14:paraId="4EA38CDB" w14:textId="3F520B26">
      <w:pPr>
        <w:pStyle w:val="Titre1"/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57216" behindDoc="1" locked="0" layoutInCell="1" allowOverlap="1" wp14:anchorId="1056E5E3" wp14:editId="0E31658C">
            <wp:simplePos x="0" y="0"/>
            <wp:positionH relativeFrom="column">
              <wp:posOffset>4762500</wp:posOffset>
            </wp:positionH>
            <wp:positionV relativeFrom="paragraph">
              <wp:posOffset>-609600</wp:posOffset>
            </wp:positionV>
            <wp:extent cx="1508760" cy="1508760"/>
            <wp:effectExtent l="0" t="0" r="0" b="0"/>
            <wp:wrapNone/>
            <wp:docPr id="608161195" name="Image 1" descr="Une image contenant texte, Polic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61195" name="Image 1" descr="Une image contenant texte, Police, Graphique, logo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67D">
        <w:rPr>
          <w:color w:val="003300"/>
          <w:lang w:val="fr-FR"/>
        </w:rPr>
        <w:t>Conditions Générales de Vente</w:t>
      </w:r>
    </w:p>
    <w:p w:rsidRPr="0033767D" w:rsidR="0023286F" w:rsidRDefault="0033767D" w14:paraId="735F9017" w14:textId="77777777">
      <w:pPr>
        <w:rPr>
          <w:lang w:val="fr-FR"/>
        </w:rPr>
      </w:pPr>
      <w:r w:rsidRPr="0033767D">
        <w:rPr>
          <w:b/>
          <w:color w:val="B8860B"/>
          <w:sz w:val="28"/>
          <w:lang w:val="fr-FR"/>
        </w:rPr>
        <w:t>DABELL RH</w:t>
      </w:r>
    </w:p>
    <w:p w:rsidRPr="0033767D" w:rsidR="0023286F" w:rsidRDefault="0023286F" w14:paraId="3427ADBB" w14:textId="77777777">
      <w:pPr>
        <w:rPr>
          <w:lang w:val="fr-FR"/>
        </w:rPr>
      </w:pPr>
    </w:p>
    <w:p w:rsidRPr="0033767D" w:rsidR="0023286F" w:rsidP="0033767D" w:rsidRDefault="0033767D" w14:paraId="71409DA5" w14:textId="77777777">
      <w:pPr>
        <w:pStyle w:val="Titre1"/>
        <w:rPr>
          <w:color w:val="003300"/>
          <w:lang w:val="fr-FR"/>
        </w:rPr>
      </w:pPr>
      <w:r w:rsidRPr="0033767D">
        <w:rPr>
          <w:color w:val="003300"/>
          <w:lang w:val="fr-FR"/>
        </w:rPr>
        <w:t>Article 1 – Objet</w:t>
      </w:r>
    </w:p>
    <w:p w:rsidRPr="0033767D" w:rsidR="0023286F" w:rsidRDefault="0033767D" w14:paraId="56ECC46B" w14:textId="066428FB">
      <w:pPr>
        <w:rPr>
          <w:lang w:val="fr-FR"/>
        </w:rPr>
      </w:pPr>
      <w:r w:rsidRPr="21F8153D" w:rsidR="0033767D">
        <w:rPr>
          <w:lang w:val="fr-FR"/>
        </w:rPr>
        <w:t xml:space="preserve">Les présentes conditions générales de vente (ci-après « CGV ») définissent les règles applicables aux prestations proposées par DABELL RH, notamment </w:t>
      </w:r>
      <w:r w:rsidRPr="21F8153D" w:rsidR="2708F9B8">
        <w:rPr>
          <w:lang w:val="fr-FR"/>
        </w:rPr>
        <w:t xml:space="preserve">les </w:t>
      </w:r>
      <w:r w:rsidRPr="21F8153D" w:rsidR="0033767D">
        <w:rPr>
          <w:lang w:val="fr-FR"/>
        </w:rPr>
        <w:t>Bilans de compétences.</w:t>
      </w:r>
      <w:r>
        <w:br/>
      </w:r>
      <w:r>
        <w:br/>
      </w:r>
      <w:r w:rsidRPr="21F8153D" w:rsidR="0033767D">
        <w:rPr>
          <w:lang w:val="fr-FR"/>
        </w:rPr>
        <w:t>Elles sont accessibles sur le site internet de DABELL RH et remises à chaque client préalablement à toute contractualisation.</w:t>
      </w:r>
    </w:p>
    <w:p w:rsidRPr="0033767D" w:rsidR="0023286F" w:rsidP="0033767D" w:rsidRDefault="0033767D" w14:paraId="543811EA" w14:textId="77777777">
      <w:pPr>
        <w:pStyle w:val="Titre1"/>
        <w:rPr>
          <w:color w:val="003300"/>
          <w:lang w:val="fr-FR"/>
        </w:rPr>
      </w:pPr>
      <w:r w:rsidRPr="0033767D">
        <w:rPr>
          <w:color w:val="003300"/>
          <w:lang w:val="fr-FR"/>
        </w:rPr>
        <w:t>Article 2 – Champ d’application</w:t>
      </w:r>
    </w:p>
    <w:p w:rsidRPr="0033767D" w:rsidR="0023286F" w:rsidRDefault="0033767D" w14:paraId="06141E12" w14:textId="77777777">
      <w:pPr>
        <w:rPr>
          <w:lang w:val="fr-FR"/>
        </w:rPr>
      </w:pPr>
      <w:r w:rsidRPr="0033767D">
        <w:rPr>
          <w:lang w:val="fr-FR"/>
        </w:rPr>
        <w:t>Les CGV s’appliquent à l’ensemble des prestations facturées par DABELL RH, quel que soit le mode de financement (paiement direct, OPCO, CPF, plan de développement des compétences, financement personnel).</w:t>
      </w:r>
    </w:p>
    <w:p w:rsidRPr="0033767D" w:rsidR="0023286F" w:rsidP="0033767D" w:rsidRDefault="0033767D" w14:paraId="4CD246C5" w14:textId="77777777">
      <w:pPr>
        <w:pStyle w:val="Titre1"/>
        <w:rPr>
          <w:color w:val="003300"/>
          <w:lang w:val="fr-FR"/>
        </w:rPr>
      </w:pPr>
      <w:r w:rsidRPr="0033767D">
        <w:rPr>
          <w:color w:val="003300"/>
          <w:lang w:val="fr-FR"/>
        </w:rPr>
        <w:t>Article 3 – Modalités d’inscription et contractualisation</w:t>
      </w:r>
    </w:p>
    <w:p w:rsidRPr="0033767D" w:rsidR="0023286F" w:rsidRDefault="0033767D" w14:paraId="39F1D02E" w14:textId="77777777">
      <w:pPr>
        <w:rPr>
          <w:lang w:val="fr-FR"/>
        </w:rPr>
      </w:pPr>
      <w:r w:rsidRPr="0033767D">
        <w:rPr>
          <w:lang w:val="fr-FR"/>
        </w:rPr>
        <w:t>Toute prestation fait l’objet d’une proposition commerciale, convention ou contrat précisant les objectifs, le programme, la durée, le prix et les modalités de réalisation.</w:t>
      </w:r>
      <w:r w:rsidRPr="0033767D">
        <w:rPr>
          <w:lang w:val="fr-FR"/>
        </w:rPr>
        <w:br/>
      </w:r>
      <w:r w:rsidRPr="0033767D">
        <w:rPr>
          <w:lang w:val="fr-FR"/>
        </w:rPr>
        <w:t>L’inscription devient définitive après réception du devis signé, ou de la convention / contrat dûment signé par les parties.</w:t>
      </w:r>
    </w:p>
    <w:p w:rsidRPr="0033767D" w:rsidR="0023286F" w:rsidP="0033767D" w:rsidRDefault="0033767D" w14:paraId="0CCC3BAC" w14:textId="77777777">
      <w:pPr>
        <w:pStyle w:val="Titre1"/>
        <w:rPr>
          <w:color w:val="003300"/>
          <w:lang w:val="fr-FR"/>
        </w:rPr>
      </w:pPr>
      <w:r w:rsidRPr="0033767D">
        <w:rPr>
          <w:color w:val="003300"/>
          <w:lang w:val="fr-FR"/>
        </w:rPr>
        <w:t>Article 4 – Prix et modalités de paiement</w:t>
      </w:r>
    </w:p>
    <w:p w:rsidRPr="0033767D" w:rsidR="0023286F" w:rsidRDefault="0033767D" w14:paraId="1219E97D" w14:textId="082F2657">
      <w:pPr>
        <w:rPr>
          <w:lang w:val="fr-FR"/>
        </w:rPr>
      </w:pPr>
      <w:r w:rsidRPr="0033767D">
        <w:rPr>
          <w:lang w:val="fr-FR"/>
        </w:rPr>
        <w:t>- Les prix sont indiqués en euros, nets de taxe (TVA non applicable, article 293B du CGI).</w:t>
      </w:r>
      <w:r w:rsidRPr="0033767D">
        <w:rPr>
          <w:lang w:val="fr-FR"/>
        </w:rPr>
        <w:br/>
      </w:r>
      <w:r w:rsidRPr="0033767D">
        <w:rPr>
          <w:lang w:val="fr-FR"/>
        </w:rPr>
        <w:t>- En cas de financement par un OPCO ou le CPF, il appartient au client de s’assurer de l’acceptation de la prise en charge avant le début de la prestation.</w:t>
      </w:r>
      <w:r w:rsidRPr="0033767D">
        <w:rPr>
          <w:lang w:val="fr-FR"/>
        </w:rPr>
        <w:br/>
      </w:r>
      <w:r w:rsidRPr="0033767D">
        <w:rPr>
          <w:lang w:val="fr-FR"/>
        </w:rPr>
        <w:t>- En cas de refus ou de prise en charge partielle par un organisme financeur, le client reste redevable du solde non financé.</w:t>
      </w:r>
      <w:r w:rsidRPr="0033767D">
        <w:rPr>
          <w:lang w:val="fr-FR"/>
        </w:rPr>
        <w:br/>
      </w:r>
      <w:r w:rsidRPr="0033767D">
        <w:rPr>
          <w:lang w:val="fr-FR"/>
        </w:rPr>
        <w:br/>
      </w:r>
      <w:r w:rsidRPr="0033767D">
        <w:rPr>
          <w:b/>
          <w:bCs/>
          <w:lang w:val="fr-FR"/>
        </w:rPr>
        <w:t>Délai de paiement et pénalités</w:t>
      </w:r>
      <w:r>
        <w:rPr>
          <w:lang w:val="fr-FR"/>
        </w:rPr>
        <w:t> :</w:t>
      </w:r>
      <w:r w:rsidRPr="0033767D">
        <w:rPr>
          <w:lang w:val="fr-FR"/>
        </w:rPr>
        <w:br/>
      </w:r>
      <w:r w:rsidRPr="0033767D">
        <w:rPr>
          <w:lang w:val="fr-FR"/>
        </w:rPr>
        <w:t>Sauf convention contraire, les factures sont payables dans un délai maximum de 30 jours à compter de leur date d’émission.</w:t>
      </w:r>
      <w:r w:rsidRPr="0033767D">
        <w:rPr>
          <w:lang w:val="fr-FR"/>
        </w:rPr>
        <w:br/>
      </w:r>
      <w:r w:rsidRPr="0033767D">
        <w:rPr>
          <w:lang w:val="fr-FR"/>
        </w:rPr>
        <w:t>Tout retard de paiement donnera lieu de plein droit, sans mise en demeure préalable, à :</w:t>
      </w:r>
      <w:r w:rsidRPr="0033767D">
        <w:rPr>
          <w:lang w:val="fr-FR"/>
        </w:rPr>
        <w:br/>
      </w:r>
      <w:r w:rsidRPr="0033767D">
        <w:rPr>
          <w:lang w:val="fr-FR"/>
        </w:rPr>
        <w:t>- l’application de pénalités de retard calculées au taux d’intérêt légal majoré de 10 points,</w:t>
      </w:r>
      <w:r w:rsidRPr="0033767D">
        <w:rPr>
          <w:lang w:val="fr-FR"/>
        </w:rPr>
        <w:br/>
      </w:r>
      <w:r w:rsidRPr="0033767D">
        <w:rPr>
          <w:lang w:val="fr-FR"/>
        </w:rPr>
        <w:t>- l’exigibilité d’une indemnité forfaitaire de recouvrement de 40 € (articles L441-10 et D441-5 du Code de commerce).</w:t>
      </w:r>
    </w:p>
    <w:p w:rsidRPr="0033767D" w:rsidR="0023286F" w:rsidP="0033767D" w:rsidRDefault="0033767D" w14:paraId="071F1623" w14:textId="77777777">
      <w:pPr>
        <w:pStyle w:val="Titre1"/>
        <w:rPr>
          <w:color w:val="003300"/>
          <w:lang w:val="fr-FR"/>
        </w:rPr>
      </w:pPr>
      <w:r w:rsidRPr="0033767D">
        <w:rPr>
          <w:color w:val="003300"/>
          <w:lang w:val="fr-FR"/>
        </w:rPr>
        <w:t>Article 5 – Conditions d’annulation, report ou abandon</w:t>
      </w:r>
    </w:p>
    <w:p w:rsidRPr="0033767D" w:rsidR="0023286F" w:rsidRDefault="0033767D" w14:paraId="4EA0F942" w14:textId="076474C9">
      <w:pPr>
        <w:rPr>
          <w:lang w:val="fr-FR"/>
        </w:rPr>
      </w:pPr>
      <w:r w:rsidRPr="21F8153D" w:rsidR="0033767D">
        <w:rPr>
          <w:lang w:val="fr-FR"/>
        </w:rPr>
        <w:t>- Annulation par le client :</w:t>
      </w:r>
      <w:r>
        <w:br/>
      </w:r>
      <w:r w:rsidRPr="21F8153D" w:rsidR="0033767D">
        <w:rPr>
          <w:lang w:val="fr-FR"/>
        </w:rPr>
        <w:t xml:space="preserve">   • Plus de 15 jours avant le démarrage : sans frais.</w:t>
      </w:r>
      <w:r>
        <w:br/>
      </w:r>
      <w:r w:rsidRPr="21F8153D" w:rsidR="0033767D">
        <w:rPr>
          <w:lang w:val="fr-FR"/>
        </w:rPr>
        <w:t xml:space="preserve">   • Moins de 15 jours : facturation de 30 % du prix total.</w:t>
      </w:r>
      <w:r>
        <w:br/>
      </w:r>
      <w:r w:rsidRPr="21F8153D" w:rsidR="0033767D">
        <w:rPr>
          <w:lang w:val="fr-FR"/>
        </w:rPr>
        <w:t xml:space="preserve">   • Après le démarrage : facturation de la totalité.</w:t>
      </w:r>
      <w:r>
        <w:br/>
      </w:r>
      <w:r w:rsidRPr="21F8153D" w:rsidR="0033767D">
        <w:rPr>
          <w:lang w:val="fr-FR"/>
        </w:rPr>
        <w:t>- Annulation par DABELL RH : report proposé ou remboursement intégral sans indemnité.</w:t>
      </w:r>
      <w:r>
        <w:br/>
      </w:r>
      <w:r w:rsidRPr="21F8153D" w:rsidR="0033767D">
        <w:rPr>
          <w:lang w:val="fr-FR"/>
        </w:rPr>
        <w:t>- Abandon en cours de bilan : facturation des heures réellement effectuées + indemnité forfaitaire de 30 %.</w:t>
      </w:r>
    </w:p>
    <w:p w:rsidRPr="0033767D" w:rsidR="0023286F" w:rsidP="0033767D" w:rsidRDefault="0033767D" w14:paraId="108729D4" w14:textId="77777777">
      <w:pPr>
        <w:pStyle w:val="Titre1"/>
        <w:rPr>
          <w:color w:val="003300"/>
          <w:lang w:val="fr-FR"/>
        </w:rPr>
      </w:pPr>
      <w:r w:rsidRPr="0033767D">
        <w:rPr>
          <w:color w:val="003300"/>
          <w:lang w:val="fr-FR"/>
        </w:rPr>
        <w:t>Article 6 – Cas de force majeure</w:t>
      </w:r>
    </w:p>
    <w:p w:rsidRPr="0033767D" w:rsidR="0023286F" w:rsidRDefault="0033767D" w14:paraId="2C5C5D1E" w14:textId="77777777">
      <w:pPr>
        <w:rPr>
          <w:lang w:val="fr-FR"/>
        </w:rPr>
      </w:pPr>
      <w:r w:rsidRPr="0033767D">
        <w:rPr>
          <w:lang w:val="fr-FR"/>
        </w:rPr>
        <w:t>DABELL RH ne pourra être tenue responsable d’un manquement à ses obligations en cas de force majeure au sens du Code civil (événements imprévisibles, irrésistibles et extérieurs : grève générale, pandémie, catastrophe naturelle, coupure internet généralisée, etc.).</w:t>
      </w:r>
      <w:r w:rsidRPr="0033767D">
        <w:rPr>
          <w:lang w:val="fr-FR"/>
        </w:rPr>
        <w:br/>
      </w:r>
      <w:r w:rsidRPr="0033767D">
        <w:rPr>
          <w:lang w:val="fr-FR"/>
        </w:rPr>
        <w:t>Dans ce cas, les obligations sont suspendues et aucun dédommagement ne pourra être réclamé.</w:t>
      </w:r>
    </w:p>
    <w:p w:rsidRPr="0033767D" w:rsidR="0023286F" w:rsidP="0033767D" w:rsidRDefault="0033767D" w14:paraId="6E6D1D17" w14:textId="77777777">
      <w:pPr>
        <w:pStyle w:val="Titre1"/>
        <w:rPr>
          <w:lang w:val="fr-FR"/>
        </w:rPr>
      </w:pPr>
      <w:r w:rsidRPr="0033767D">
        <w:rPr>
          <w:color w:val="003300"/>
          <w:lang w:val="fr-FR"/>
        </w:rPr>
        <w:t>Article 7 – Obligations de DABELL RH</w:t>
      </w:r>
    </w:p>
    <w:p w:rsidRPr="0033767D" w:rsidR="0023286F" w:rsidRDefault="0033767D" w14:paraId="6B01E959" w14:textId="77777777">
      <w:pPr>
        <w:rPr>
          <w:lang w:val="fr-FR"/>
        </w:rPr>
      </w:pPr>
      <w:r w:rsidRPr="0033767D">
        <w:rPr>
          <w:lang w:val="fr-FR"/>
        </w:rPr>
        <w:t>DABELL RH s’engage à :</w:t>
      </w:r>
      <w:r w:rsidRPr="0033767D">
        <w:rPr>
          <w:lang w:val="fr-FR"/>
        </w:rPr>
        <w:br/>
      </w:r>
      <w:r w:rsidRPr="0033767D">
        <w:rPr>
          <w:lang w:val="fr-FR"/>
        </w:rPr>
        <w:t xml:space="preserve">- Fournir des prestations conformes aux règles de l’art et à la réglementation (Code du travail, </w:t>
      </w:r>
      <w:proofErr w:type="spellStart"/>
      <w:r w:rsidRPr="0033767D">
        <w:rPr>
          <w:lang w:val="fr-FR"/>
        </w:rPr>
        <w:t>Qualiopi</w:t>
      </w:r>
      <w:proofErr w:type="spellEnd"/>
      <w:r w:rsidRPr="0033767D">
        <w:rPr>
          <w:lang w:val="fr-FR"/>
        </w:rPr>
        <w:t>).</w:t>
      </w:r>
      <w:r w:rsidRPr="0033767D">
        <w:rPr>
          <w:lang w:val="fr-FR"/>
        </w:rPr>
        <w:br/>
      </w:r>
      <w:r w:rsidRPr="0033767D">
        <w:rPr>
          <w:lang w:val="fr-FR"/>
        </w:rPr>
        <w:t>- Mettre à disposition des intervenants qualifiés et des outils adaptés.</w:t>
      </w:r>
      <w:r w:rsidRPr="0033767D">
        <w:rPr>
          <w:lang w:val="fr-FR"/>
        </w:rPr>
        <w:br/>
      </w:r>
      <w:r w:rsidRPr="0033767D">
        <w:rPr>
          <w:lang w:val="fr-FR"/>
        </w:rPr>
        <w:t>- Garantir la confidentialité des échanges, notamment dans le cadre des bilans de compétences.</w:t>
      </w:r>
      <w:r w:rsidRPr="0033767D">
        <w:rPr>
          <w:lang w:val="fr-FR"/>
        </w:rPr>
        <w:br/>
      </w:r>
      <w:r w:rsidRPr="0033767D">
        <w:rPr>
          <w:lang w:val="fr-FR"/>
        </w:rPr>
        <w:t>- Adapter ses prestations, dans la mesure du possible, aux besoins spécifiques (handicap, contraintes particulières).</w:t>
      </w:r>
    </w:p>
    <w:p w:rsidRPr="0033767D" w:rsidR="0023286F" w:rsidP="0033767D" w:rsidRDefault="0033767D" w14:paraId="4361EE0C" w14:textId="77777777">
      <w:pPr>
        <w:pStyle w:val="Titre1"/>
        <w:rPr>
          <w:color w:val="003300"/>
          <w:lang w:val="fr-FR"/>
        </w:rPr>
      </w:pPr>
      <w:r w:rsidRPr="0033767D">
        <w:rPr>
          <w:color w:val="003300"/>
          <w:lang w:val="fr-FR"/>
        </w:rPr>
        <w:t>Article 8 – Obligations du client</w:t>
      </w:r>
    </w:p>
    <w:p w:rsidRPr="0033767D" w:rsidR="0023286F" w:rsidRDefault="0033767D" w14:paraId="1EF61FCC" w14:textId="41B76A7E">
      <w:pPr>
        <w:rPr>
          <w:lang w:val="fr-FR"/>
        </w:rPr>
      </w:pPr>
      <w:r w:rsidRPr="21F8153D" w:rsidR="0033767D">
        <w:rPr>
          <w:lang w:val="fr-FR"/>
        </w:rPr>
        <w:t>Le client s’engage à :</w:t>
      </w:r>
      <w:r>
        <w:br/>
      </w:r>
      <w:r w:rsidRPr="21F8153D" w:rsidR="0033767D">
        <w:rPr>
          <w:lang w:val="fr-FR"/>
        </w:rPr>
        <w:t>- Fournir les informations nécessaires à la bonne réalisation de la prestation.</w:t>
      </w:r>
      <w:r>
        <w:br/>
      </w:r>
      <w:r w:rsidRPr="21F8153D" w:rsidR="0033767D">
        <w:rPr>
          <w:lang w:val="fr-FR"/>
        </w:rPr>
        <w:t>- Respecter le règlement intérieur communiqué lors des actions</w:t>
      </w:r>
      <w:r w:rsidRPr="21F8153D" w:rsidR="467F9DCC">
        <w:rPr>
          <w:lang w:val="fr-FR"/>
        </w:rPr>
        <w:t xml:space="preserve"> de</w:t>
      </w:r>
      <w:r w:rsidRPr="21F8153D" w:rsidR="0033767D">
        <w:rPr>
          <w:lang w:val="fr-FR"/>
        </w:rPr>
        <w:t xml:space="preserve"> bilans.</w:t>
      </w:r>
      <w:r>
        <w:br/>
      </w:r>
      <w:r w:rsidRPr="21F8153D" w:rsidR="0033767D">
        <w:rPr>
          <w:lang w:val="fr-FR"/>
        </w:rPr>
        <w:t>- Payer les sommes dues selon les modalités prévues.</w:t>
      </w:r>
      <w:r>
        <w:br/>
      </w:r>
      <w:r w:rsidRPr="21F8153D" w:rsidR="0033767D">
        <w:rPr>
          <w:lang w:val="fr-FR"/>
        </w:rPr>
        <w:t>- Participer activement aux actions et respecter les engagements pris.</w:t>
      </w:r>
    </w:p>
    <w:p w:rsidRPr="0033767D" w:rsidR="0023286F" w:rsidP="0033767D" w:rsidRDefault="0033767D" w14:paraId="632E9BFD" w14:textId="77777777">
      <w:pPr>
        <w:pStyle w:val="Titre1"/>
        <w:rPr>
          <w:color w:val="003300"/>
          <w:lang w:val="fr-FR"/>
        </w:rPr>
      </w:pPr>
      <w:r w:rsidRPr="0033767D">
        <w:rPr>
          <w:color w:val="003300"/>
          <w:lang w:val="fr-FR"/>
        </w:rPr>
        <w:t>Article 9 – Propriété intellectuelle</w:t>
      </w:r>
    </w:p>
    <w:p w:rsidRPr="0033767D" w:rsidR="0023286F" w:rsidRDefault="0033767D" w14:paraId="0E2332AC" w14:textId="77777777">
      <w:pPr>
        <w:rPr>
          <w:lang w:val="fr-FR"/>
        </w:rPr>
      </w:pPr>
      <w:r w:rsidRPr="0033767D">
        <w:rPr>
          <w:lang w:val="fr-FR"/>
        </w:rPr>
        <w:t>Les supports pédagogiques, outils et documents remis sont la propriété exclusive de DABELL RH.</w:t>
      </w:r>
      <w:r w:rsidRPr="0033767D">
        <w:rPr>
          <w:lang w:val="fr-FR"/>
        </w:rPr>
        <w:br/>
      </w:r>
      <w:r w:rsidRPr="0033767D">
        <w:rPr>
          <w:lang w:val="fr-FR"/>
        </w:rPr>
        <w:t>Toute reproduction, diffusion ou exploitation sans autorisation écrite est interdite.</w:t>
      </w:r>
    </w:p>
    <w:p w:rsidRPr="0033767D" w:rsidR="0023286F" w:rsidP="0033767D" w:rsidRDefault="0033767D" w14:paraId="775BAA53" w14:textId="77777777">
      <w:pPr>
        <w:pStyle w:val="Titre1"/>
        <w:rPr>
          <w:lang w:val="fr-FR"/>
        </w:rPr>
      </w:pPr>
      <w:r w:rsidRPr="0033767D">
        <w:rPr>
          <w:color w:val="003300"/>
          <w:lang w:val="fr-FR"/>
        </w:rPr>
        <w:t>Article 10 – Confidentialité et protection des données (RGPD)</w:t>
      </w:r>
    </w:p>
    <w:p w:rsidRPr="0033767D" w:rsidR="0023286F" w:rsidRDefault="0033767D" w14:paraId="12A23B0D" w14:textId="77777777">
      <w:pPr>
        <w:rPr>
          <w:lang w:val="fr-FR"/>
        </w:rPr>
      </w:pPr>
      <w:r w:rsidRPr="0033767D">
        <w:rPr>
          <w:lang w:val="fr-FR"/>
        </w:rPr>
        <w:t>- Les données personnelles collectées sont traitées dans le respect du RGPD.</w:t>
      </w:r>
      <w:r w:rsidRPr="0033767D">
        <w:rPr>
          <w:lang w:val="fr-FR"/>
        </w:rPr>
        <w:br/>
      </w:r>
      <w:r w:rsidRPr="0033767D">
        <w:rPr>
          <w:lang w:val="fr-FR"/>
        </w:rPr>
        <w:t>- Elles sont utilisées uniquement pour le suivi administratif, pédagogique et financier des prestations.</w:t>
      </w:r>
      <w:r w:rsidRPr="0033767D">
        <w:rPr>
          <w:lang w:val="fr-FR"/>
        </w:rPr>
        <w:br/>
      </w:r>
      <w:r w:rsidRPr="0033767D">
        <w:rPr>
          <w:lang w:val="fr-FR"/>
        </w:rPr>
        <w:t>- Chaque bénéficiaire dispose d’un droit d’accès, de rectification et d’opposition en écrivant à DABELL RH.</w:t>
      </w:r>
      <w:r w:rsidRPr="0033767D">
        <w:rPr>
          <w:lang w:val="fr-FR"/>
        </w:rPr>
        <w:br/>
      </w:r>
      <w:r w:rsidRPr="0033767D">
        <w:rPr>
          <w:lang w:val="fr-FR"/>
        </w:rPr>
        <w:t>- Les données sont conservées pour la durée légale nécessaire et sécurisées conformément aux normes en vigueur.</w:t>
      </w:r>
    </w:p>
    <w:p w:rsidRPr="0033767D" w:rsidR="0023286F" w:rsidP="0033767D" w:rsidRDefault="0033767D" w14:paraId="74C00FCD" w14:textId="77777777">
      <w:pPr>
        <w:pStyle w:val="Titre1"/>
        <w:rPr>
          <w:color w:val="003300"/>
          <w:lang w:val="fr-FR"/>
        </w:rPr>
      </w:pPr>
      <w:r w:rsidRPr="0033767D">
        <w:rPr>
          <w:color w:val="003300"/>
          <w:lang w:val="fr-FR"/>
        </w:rPr>
        <w:t>Article 11 – Responsabilité</w:t>
      </w:r>
    </w:p>
    <w:p w:rsidRPr="0033767D" w:rsidR="0023286F" w:rsidRDefault="0033767D" w14:paraId="072B2084" w14:textId="77777777">
      <w:pPr>
        <w:rPr>
          <w:lang w:val="fr-FR"/>
        </w:rPr>
      </w:pPr>
      <w:r w:rsidRPr="0033767D">
        <w:rPr>
          <w:lang w:val="fr-FR"/>
        </w:rPr>
        <w:t>La responsabilité de DABELL RH ne peut être engagée qu’en cas de faute prouvée et se limite au montant de la prestation concernée.</w:t>
      </w:r>
      <w:r w:rsidRPr="0033767D">
        <w:rPr>
          <w:lang w:val="fr-FR"/>
        </w:rPr>
        <w:br/>
      </w:r>
      <w:r w:rsidRPr="0033767D">
        <w:rPr>
          <w:lang w:val="fr-FR"/>
        </w:rPr>
        <w:t>En aucun cas, DABELL RH ne peut être tenu responsable des dommages indirects (perte de chance, perte de données, perte d’activité, etc.).</w:t>
      </w:r>
    </w:p>
    <w:p w:rsidRPr="0033767D" w:rsidR="0023286F" w:rsidP="0033767D" w:rsidRDefault="0033767D" w14:paraId="1C8B10F1" w14:textId="77777777">
      <w:pPr>
        <w:pStyle w:val="Titre1"/>
        <w:rPr>
          <w:color w:val="003300"/>
          <w:lang w:val="fr-FR"/>
        </w:rPr>
      </w:pPr>
      <w:r w:rsidRPr="0033767D">
        <w:rPr>
          <w:color w:val="003300"/>
          <w:lang w:val="fr-FR"/>
        </w:rPr>
        <w:t>Article 12 – Réclamations et médiation</w:t>
      </w:r>
    </w:p>
    <w:p w:rsidRPr="0033767D" w:rsidR="0023286F" w:rsidRDefault="0033767D" w14:paraId="1E15AEBE" w14:textId="77777777">
      <w:pPr>
        <w:rPr>
          <w:lang w:val="fr-FR"/>
        </w:rPr>
      </w:pPr>
      <w:r w:rsidRPr="0033767D">
        <w:rPr>
          <w:lang w:val="fr-FR"/>
        </w:rPr>
        <w:t>- Toute réclamation peut être adressée par écrit à DABELL RH.</w:t>
      </w:r>
      <w:r w:rsidRPr="0033767D">
        <w:rPr>
          <w:lang w:val="fr-FR"/>
        </w:rPr>
        <w:br/>
      </w:r>
      <w:r w:rsidRPr="0033767D">
        <w:rPr>
          <w:lang w:val="fr-FR"/>
        </w:rPr>
        <w:t>- Une réponse est apportée dans un délai de 15 jours.</w:t>
      </w:r>
      <w:r w:rsidRPr="0033767D">
        <w:rPr>
          <w:lang w:val="fr-FR"/>
        </w:rPr>
        <w:br/>
      </w:r>
      <w:r w:rsidRPr="0033767D">
        <w:rPr>
          <w:lang w:val="fr-FR"/>
        </w:rPr>
        <w:t>- En cas de litige persistant, le client peut saisir gratuitement un médiateur de la consommation conformément aux articles L612-1 et suivants du Code de la consommation.</w:t>
      </w:r>
    </w:p>
    <w:p w:rsidRPr="0033767D" w:rsidR="0023286F" w:rsidRDefault="0033767D" w14:paraId="0840D85D" w14:textId="46497E17">
      <w:pPr>
        <w:rPr>
          <w:lang w:val="fr-FR"/>
        </w:rPr>
      </w:pPr>
      <w:r w:rsidRPr="0033767D">
        <w:rPr>
          <w:lang w:val="fr-FR"/>
        </w:rPr>
        <w:t>Les présentes CGV sont régies par le droit français.</w:t>
      </w:r>
      <w:r w:rsidRPr="0033767D">
        <w:rPr>
          <w:lang w:val="fr-FR"/>
        </w:rPr>
        <w:br/>
      </w:r>
      <w:r w:rsidRPr="0033767D">
        <w:rPr>
          <w:lang w:val="fr-FR"/>
        </w:rPr>
        <w:t>Tout litige relève de la compétence exclusive du tribunal de commerce du siège social de DABELL RH, sous réserve des règles d’ordre public applicables.</w:t>
      </w:r>
    </w:p>
    <w:sectPr w:rsidRPr="0033767D" w:rsidR="0023286F" w:rsidSect="00034616">
      <w:pgSz w:w="12240" w:h="15840" w:orient="portrait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 w16cid:durableId="1826781394">
    <w:abstractNumId w:val="8"/>
  </w:num>
  <w:num w:numId="2" w16cid:durableId="2059470304">
    <w:abstractNumId w:val="6"/>
  </w:num>
  <w:num w:numId="3" w16cid:durableId="1597323360">
    <w:abstractNumId w:val="5"/>
  </w:num>
  <w:num w:numId="4" w16cid:durableId="1032464412">
    <w:abstractNumId w:val="4"/>
  </w:num>
  <w:num w:numId="5" w16cid:durableId="2144619945">
    <w:abstractNumId w:val="7"/>
  </w:num>
  <w:num w:numId="6" w16cid:durableId="646781747">
    <w:abstractNumId w:val="3"/>
  </w:num>
  <w:num w:numId="7" w16cid:durableId="738554555">
    <w:abstractNumId w:val="2"/>
  </w:num>
  <w:num w:numId="8" w16cid:durableId="380177963">
    <w:abstractNumId w:val="1"/>
  </w:num>
  <w:num w:numId="9" w16cid:durableId="186000170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3286F"/>
    <w:rsid w:val="0029639D"/>
    <w:rsid w:val="00326F90"/>
    <w:rsid w:val="0033767D"/>
    <w:rsid w:val="00A45E7E"/>
    <w:rsid w:val="00AA1D8D"/>
    <w:rsid w:val="00B47730"/>
    <w:rsid w:val="00CB0664"/>
    <w:rsid w:val="00FC693F"/>
    <w:rsid w:val="21F8153D"/>
    <w:rsid w:val="2708F9B8"/>
    <w:rsid w:val="467F9DCC"/>
    <w:rsid w:val="5BCCD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3DCE45"/>
  <w14:defaultImageDpi w14:val="300"/>
  <w15:docId w15:val="{3C164B6B-5EEE-44F5-8265-32B70398D4B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693F"/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styleId="Titre1Car" w:customStyle="1">
    <w:name w:val="Titre 1 Car"/>
    <w:basedOn w:val="Policepardfaut"/>
    <w:link w:val="Titre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Titre2Car" w:customStyle="1">
    <w:name w:val="Titre 2 Car"/>
    <w:basedOn w:val="Policepardfaut"/>
    <w:link w:val="Titre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Titre3Car" w:customStyle="1">
    <w:name w:val="Titre 3 Car"/>
    <w:basedOn w:val="Policepardfaut"/>
    <w:link w:val="Titre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reCar" w:customStyle="1">
    <w:name w:val="Titre Car"/>
    <w:basedOn w:val="Policepardfaut"/>
    <w:link w:val="Titr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ous-titreCar" w:customStyle="1">
    <w:name w:val="Sous-titre Car"/>
    <w:basedOn w:val="Policepardfaut"/>
    <w:link w:val="Sous-titr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styleId="CorpsdetexteCar" w:customStyle="1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styleId="Corpsdetexte2Car" w:customStyle="1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Corpsdetexte3Car" w:customStyle="1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edemacroCar" w:customStyle="1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styleId="CitationCar" w:customStyle="1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styleId="Titre4Car" w:customStyle="1">
    <w:name w:val="Titre 4 Car"/>
    <w:basedOn w:val="Policepardfaut"/>
    <w:link w:val="Titre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Titre5Car" w:customStyle="1">
    <w:name w:val="Titre 5 Car"/>
    <w:basedOn w:val="Policepardfaut"/>
    <w:link w:val="Titre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Titre6Car" w:customStyle="1">
    <w:name w:val="Titre 6 Car"/>
    <w:basedOn w:val="Policepardfaut"/>
    <w:link w:val="Titre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Titre7Car" w:customStyle="1">
    <w:name w:val="Titre 7 Car"/>
    <w:basedOn w:val="Policepardfaut"/>
    <w:link w:val="Titre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Titre8Car" w:customStyle="1">
    <w:name w:val="Titre 8 Car"/>
    <w:basedOn w:val="Policepardfaut"/>
    <w:link w:val="Titre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Titre9Car" w:customStyle="1">
    <w:name w:val="Titre 9 Car"/>
    <w:basedOn w:val="Policepardfaut"/>
    <w:link w:val="Titre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tyles" Target="styles.xml" Id="rId3" /><Relationship Type="http://schemas.openxmlformats.org/officeDocument/2006/relationships/fontTable" Target="fontTable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python-docx</dc:creator>
  <keywords/>
  <dc:description>generated by python-docx</dc:description>
  <lastModifiedBy>Rafael DA CUNHA</lastModifiedBy>
  <revision>3</revision>
  <dcterms:created xsi:type="dcterms:W3CDTF">2025-09-08T14:13:00.0000000Z</dcterms:created>
  <dcterms:modified xsi:type="dcterms:W3CDTF">2025-09-10T13:31:00.4897579Z</dcterms:modified>
  <category/>
</coreProperties>
</file>